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10 vom 11. März 1983</w:t>
      </w:r>
    </w:p>
    <w:p>
      <w:r>
        <w:t>Bundesgericht (BGE), 1983-03-11, DE</w:t>
      </w:r>
    </w:p>
    <w:p>
      <w:r>
        <w:rPr>
          <w:b/>
        </w:rPr>
        <w:t xml:space="preserve">Quelle: </w:t>
      </w:r>
      <w:r>
        <w:t>https://mcp.opencaselaw.ch/entscheid/bge_109 IB 10</w:t>
      </w:r>
    </w:p>
    <w:p>
      <w:r>
        <w:t>FR: BGE 109 IB 10 du 11 mars 1983</w:t>
      </w:r>
    </w:p>
    <w:p>
      <w:r>
        <w:t>IT: BGE 109 IB 10 del 11 marzo 1983</w:t>
      </w:r>
    </w:p>
    <w:p>
      <w:pPr>
        <w:pStyle w:val="Heading2"/>
      </w:pPr>
      <w:r>
        <w:t>Regeste</w:t>
      </w:r>
    </w:p>
    <w:p>
      <w:r>
        <w:t>Regeste Art. 96 Abs. 1 WStB; Zwischenveranlagung. Die Aufgabe einzelner von mehreren Verwaltungsratsmandaten eines Industriellen stellt im allgemeinen nicht, unabhängig von der Höhe der damit verbundenen Einkommensveränderung, eine Aufgabe der Erwerbstätigkeit im Sinne von Art. 96 Abs. 1 WStB dar, die eine Zwischenveranlagung begründen würde.</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(Bemessungsperiode) erzielte (Art. 41 Abs. 1 und 2 WStB). Schwankungen in der Höhe des Einkommens sollen sich im allgemeinen in der nachfolgenden Veranlagunsperiode auf die Wehrsteuer auswirken und derart auf die Dauer ausgleichen. Die Zwischenveranlagung ist auf die in Art. 96 Abs. 1 WStB abschliessend genannten dauernden Veränderungen der Veranlagungsgrundlagen beschränkt, bei denen es sich als Härte erweisen würde, wenn die Anpassung der Veranlagung erst in der folgenden Veranlagungsperiode möglich wäre. In diesen Fällen ist für den Rest der BGE 109 Ib 10 S. 12 Veranlagungsperiode bezüglich der von der Änderung betroffenen Einkommensbestandteile eine Zwischenveranlagung zu treffen, wobei der Steuer das nach Eintritt der Änderung erzielte, auf ein Jahr berechnete Einkommen zugrunde zu legen ist (Art. 96 Abs. 1 i.V.m. Art. 41 Abs. 4 WStB).</w:t>
      </w:r>
    </w:p>
    <w:p>
      <w:r>
        <w:rPr>
          <w:b/>
        </w:rPr>
        <w:t>E. 2</w:t>
      </w:r>
    </w:p>
    <w:p>
      <w:r>
        <w:t>Das Bundesgericht hat als Voraussetzung einer Zwischenveranlagung wegen Berufswechsels und infolge Aufnahme oder Aufgabe einer Erwerbstätigkeit verlangt, dass damit nicht nur eine dauerhafte, sondern auch eine wesentliche Veränderung des steuerpflichtigen Einkommens verbunden sein müsse (ASA 21, 437; ASA 43, 123 E. 1c). In dem vom Beschwerdeführer zitierten Entscheid ( BGE 101 Ib 398 ff.) hat es in Erwägung 2a, in Abweichung von der bisherigen Verwaltungspraxis, auch die Aufgabe einer von mehreren Erwerbstätigkeiten und selbst einer Nebenerwerbstätigkeit, wie diejenige eines Verwaltungsrates, als möglichen Anlass für eine Zwischenveranlagung in Betracht gezogen, vorausgesetzt, die damit verbundene Änderung ist wesentlich. In der Praxis der Wehrsteuerveranlagungsbehörden bildete sich die Regel heraus, nur eine Veränderung des steuerpflichtigen Einkommens um mindestens 20% als wesentlich zu behandeln. Das Bundesgericht hat in dem vom Beschwerdeführer angeführten Entscheid (und schon in ASA 43, 126 E. b und c) allerdings darauf hingewiesen, dass eine wesentliche Änderung der Veranlagungsgrundlage im Falle des Berufswechsels unter Umständen auch dann anzunehmen sei, wenn dieser eine Einkommensänderung von weniger als 20% zur Folge habe, dafür in anderer Weise eine tiefgreifende Änderung (cambiamento profondo) mit sich bringe, wie dies z.B. beim Wechsel von einer unselbständigen zu einer selbständigen Erwerbstätigkeit oder umgekehrt der Fall sein könne. Es hat die Frage offen gelassen, ob auch die Aufgabe einer von mehreren Erwerbstätigkeiten unter Umständen eine tiefgreifende Veränderung darstellen und - auch bei weniger als 20%iger Abweichung des Einkommens - als wesentlich qualifiziert werden könnte ( BGE 101 Ib 403 f. E. 2c). Auch im vorliegenden Fall kann diese Frage offen bleiben.</w:t>
      </w:r>
    </w:p>
    <w:p>
      <w:r>
        <w:rPr>
          <w:b/>
        </w:rPr>
        <w:t>E. 3</w:t>
      </w:r>
    </w:p>
    <w:p>
      <w:r>
        <w:t>a) Der Beschwerdeführer will seine Verwaltungsratsmandate stufenweise aufgeben, ein Vorgang, der im Frühjahr 1975 begann und der sich über mehrere Jahre hinwegziehen soll. Die mit einem sich derart lange hinziehenden Abbau verbundene sukzessive Verminderung seiner Erwerbseinkünfte kann in der ordentlichen Veranlagung hinreichend berücksichtigt werden, ohne dass BGE 109 Ib 10 S. 13 eine Zwischentaxation erforderlich wäre, um ein Auseinanderklaffen zwischen Steuerbelastung und wirtschaftlicher Leistungsfähigkeit zu vermeiden. Die Abgabe einzelner von mehreren Verwaltungsratsmandaten eines Industriellen stellt im allgemeinen nicht, unabhängig von der Höhe der damit verbundenen Einkommensveränderung, eine Aufgabe der Erwerbstätigkeit dar, die eine Zwischenveranlagung begründen würde. Umgekehrt wird auch die Annahme eines weiteren Verwaltungsratsmandates neben anderen regelmässig nicht Anlass für eine Zwischenveranlagung sein. Eine tiefgreifende und deshalb wesentliche Änderung der Veranlagungsgrundlage tritt damit beim Beschwerdeführer nicht ein. b) Eine wegen ihrer Höhe wesentliche Veränderung des steuerbaren Einkommens ist jedenfalls nicht eingetreten. Das mit der stufenweisen Aufgabe einzelner Verwaltungsratsmandate entfallende Erwerbseinkommen betrug für jeden Zeitpunkt, für den der Beschwerdeführer die Zwischentaxation verlangt, höchstens wenige Prozente seines der ordentlichen Veranlagung zugrunde liegenden steuerpflichtigen Gesamteinkommens. Selbst wenn man die im Laufe jeder der beiden Veranlagungsperioden weggefallenen Verwaltungsratshonorare zusammenrechnen wollte, hätten sie in der 18. Wehrsteuerperiode nur ca. 7% des steuerpflichtigen Einkommens von Fr. 558'100.-- und in der 19. Wehrsteuerperiode gar nur ca. 5,5% des steuerpflichtigen Einkommens von Fr. 558'800.-- ausgemacht.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